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SEMINARIO</w:t>
      </w:r>
    </w:p>
    <w:p>
      <w:pPr>
        <w:pStyle w:val="Normal"/>
        <w:tabs>
          <w:tab w:val="left" w:pos="284" w:leader="none"/>
        </w:tabs>
        <w:spacing w:lineRule="auto" w:line="240"/>
        <w:jc w:val="center"/>
        <w:rPr>
          <w:rFonts w:ascii="Arial Narrow" w:hAnsi="Arial Narrow" w:cs="Arial"/>
          <w:b/>
          <w:b/>
          <w:sz w:val="54"/>
          <w:szCs w:val="54"/>
        </w:rPr>
      </w:pPr>
      <w:r>
        <w:rPr>
          <w:rFonts w:cs="Arial" w:ascii="Arial Narrow" w:hAnsi="Arial Narrow"/>
          <w:b/>
          <w:sz w:val="54"/>
          <w:szCs w:val="54"/>
        </w:rPr>
        <w:t>RITUAL Y LITURGIA EN EL ARTE MEDIEVAL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Instituto de Teoría e Historia del Arte Julio E. Payró, </w:t>
        <w:br/>
        <w:t>Facultad de Filosofía y Letras, Universidad de Buenos Aires.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3175">
            <wp:extent cx="1089025" cy="140208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Docente: Ángel Pazos-López, Investigador Contratado del Departamento de Historia del Arte I (Medieval) de la Universidad Complutense de Madrid y Profesor Invitado en la UBA.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24"/>
          <w:szCs w:val="24"/>
        </w:rPr>
        <w:t xml:space="preserve">Correo electrónico: </w:t>
      </w:r>
      <w:hyperlink r:id="rId3">
        <w:r>
          <w:rPr>
            <w:rStyle w:val="EnlacedeInternet"/>
            <w:rFonts w:cs="Arial" w:ascii="Arial" w:hAnsi="Arial"/>
            <w:sz w:val="24"/>
            <w:szCs w:val="24"/>
          </w:rPr>
          <w:t>angelpazos@ucm.es</w:t>
        </w:r>
      </w:hyperlink>
      <w:r>
        <w:rPr>
          <w:rFonts w:cs="Arial" w:ascii="Arial" w:hAnsi="Arial"/>
          <w:sz w:val="24"/>
          <w:szCs w:val="24"/>
        </w:rPr>
        <w:t xml:space="preserve">  | Twitter: </w:t>
      </w:r>
      <w:hyperlink r:id="rId4">
        <w:r>
          <w:rPr>
            <w:rStyle w:val="EnlacedeInternet"/>
            <w:rFonts w:cs="Arial" w:ascii="Arial" w:hAnsi="Arial"/>
            <w:sz w:val="24"/>
            <w:szCs w:val="24"/>
          </w:rPr>
          <w:t>@angelpazoslopez</w:t>
        </w:r>
      </w:hyperlink>
      <w:r>
        <w:rPr>
          <w:rFonts w:cs="Arial" w:ascii="Arial" w:hAnsi="Arial"/>
          <w:sz w:val="24"/>
          <w:szCs w:val="24"/>
        </w:rPr>
        <w:t xml:space="preserve"> </w:t>
        <w:br/>
        <w:t xml:space="preserve">Web: </w:t>
      </w:r>
      <w:hyperlink r:id="rId5">
        <w:r>
          <w:rPr>
            <w:rStyle w:val="EnlacedeInternet"/>
            <w:rFonts w:cs="Arial" w:ascii="Arial" w:hAnsi="Arial"/>
            <w:sz w:val="24"/>
            <w:szCs w:val="24"/>
          </w:rPr>
          <w:t>www.ucm.es/artemedieval/pazos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Introducción</w:t>
      </w:r>
    </w:p>
    <w:p>
      <w:pPr>
        <w:pStyle w:val="Normal"/>
        <w:spacing w:lineRule="auto" w:line="24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Este seminario aborda las principales relaciones entre los ritos y ceremonias litúrgicas del cristianismo medieval y las manifestaciones artísticas coetáneas. A partir de las reflexiones en torno a los conceptos de ritual, liturgia, paraliturgia, integración artística, tiempo, espacio, sonido e imagen, nos acercaremos a la funcionalidad del arte cristiano medieval explicando usos y dimensiones conceptuales que se ha exportado más allá de los límites del arte medieval y de la Europa Occidental. Finalmente, se pretende una introducción a la liturgia y los ritos como arte efímero y como dimensión funcional de espacios, formas y significados.</w:t>
      </w:r>
    </w:p>
    <w:p>
      <w:pPr>
        <w:pStyle w:val="Normal"/>
        <w:spacing w:lineRule="auto" w:line="24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Resultados del Aprendizaje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 concluir con éxito este seminario, los estudiantes serán capaces de: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Sintetizar las principales características del culto cristiano medieval en relación con las manifestaciones artísticas de dicho período.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Identificar la dimensión estética de la liturgia medieval, especialmente en su dimensión efímera y de patrimonio inmaterial a conservar y difundir.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Valorar la importancia de la liturgia en el desarrollo de las diferentes manifestaciones del arte medieval cristiano.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Definir y contrastar la terminología específica de los estudios litúrgicos e histórico-artísticos relacionados con el arte medieval.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Analizar discursos críticos investigadores sobre problemas específicos del arte medieval en su faceta litúrgica.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0" w:firstLine="425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Apreciar la importancia que la liturgia y el ritual medieval tienen en la configuración ritual del mundo contemporáneo y su impacto en las artes.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Syllabus</w:t>
      </w:r>
    </w:p>
    <w:p>
      <w:pPr>
        <w:pStyle w:val="NoSpacing"/>
        <w:spacing w:before="0" w:after="160"/>
        <w:rPr/>
      </w:pPr>
      <w:r>
        <w:rPr>
          <w:rFonts w:cs="Arial" w:ascii="Arial" w:hAnsi="Arial"/>
          <w:i/>
          <w:sz w:val="24"/>
          <w:szCs w:val="24"/>
        </w:rPr>
        <w:t>Miércoles</w:t>
      </w:r>
      <w:r>
        <w:rPr>
          <w:rFonts w:cs="Arial" w:ascii="Arial" w:hAnsi="Arial"/>
          <w:i/>
          <w:sz w:val="24"/>
          <w:szCs w:val="24"/>
        </w:rPr>
        <w:t>, 1</w:t>
      </w:r>
      <w:r>
        <w:rPr>
          <w:rFonts w:cs="Arial" w:ascii="Arial" w:hAnsi="Arial"/>
          <w:i/>
          <w:sz w:val="24"/>
          <w:szCs w:val="24"/>
        </w:rPr>
        <w:t>4</w:t>
      </w:r>
      <w:r>
        <w:rPr>
          <w:rFonts w:cs="Arial" w:ascii="Arial" w:hAnsi="Arial"/>
          <w:i/>
          <w:sz w:val="24"/>
          <w:szCs w:val="24"/>
        </w:rPr>
        <w:t xml:space="preserve"> de junio</w:t>
      </w:r>
      <w:r>
        <w:rPr>
          <w:rFonts w:cs="Arial" w:ascii="Arial" w:hAnsi="Arial"/>
          <w:sz w:val="24"/>
          <w:szCs w:val="24"/>
        </w:rPr>
        <w:t xml:space="preserve"> </w:t>
        <w:tab/>
      </w:r>
      <w:r>
        <w:rPr>
          <w:rFonts w:cs="Arial" w:ascii="Arial" w:hAnsi="Arial"/>
          <w:b/>
          <w:sz w:val="24"/>
          <w:szCs w:val="24"/>
        </w:rPr>
        <w:t xml:space="preserve">1. La liturgia medieval en la diversidad de las artes. </w:t>
      </w:r>
    </w:p>
    <w:p>
      <w:pPr>
        <w:pStyle w:val="NoSpacing"/>
        <w:tabs>
          <w:tab w:val="left" w:pos="2410" w:leader="none"/>
        </w:tabs>
        <w:spacing w:before="0" w:after="16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(17.00-18.30 h): </w:t>
        <w:tab/>
        <w:t>Introducción: liturgia, paraliturgia y devoción en la Edad Media. La diversidad de la liturgia en la pluralidad de las artes. Ritmos de vida y tiempos en el ritual. Estructuras litúrgicas y rituales entre Oriente y Occidente.</w:t>
      </w:r>
    </w:p>
    <w:p>
      <w:pPr>
        <w:pStyle w:val="NoSpacing"/>
        <w:tabs>
          <w:tab w:val="left" w:pos="2410" w:leader="none"/>
        </w:tabs>
        <w:spacing w:before="0" w:after="16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before="0" w:after="160"/>
        <w:rPr/>
      </w:pPr>
      <w:r>
        <w:rPr>
          <w:rFonts w:cs="Arial" w:ascii="Arial" w:hAnsi="Arial"/>
          <w:i/>
          <w:sz w:val="24"/>
          <w:szCs w:val="24"/>
        </w:rPr>
        <w:t>Miércoles</w:t>
      </w:r>
      <w:r>
        <w:rPr>
          <w:rFonts w:cs="Arial" w:ascii="Arial" w:hAnsi="Arial"/>
          <w:i/>
          <w:sz w:val="24"/>
          <w:szCs w:val="24"/>
        </w:rPr>
        <w:t xml:space="preserve">, </w:t>
      </w:r>
      <w:r>
        <w:rPr>
          <w:rFonts w:cs="Arial" w:ascii="Arial" w:hAnsi="Arial"/>
          <w:i/>
          <w:sz w:val="24"/>
          <w:szCs w:val="24"/>
        </w:rPr>
        <w:t>21</w:t>
      </w:r>
      <w:r>
        <w:rPr>
          <w:rFonts w:cs="Arial" w:ascii="Arial" w:hAnsi="Arial"/>
          <w:i/>
          <w:sz w:val="24"/>
          <w:szCs w:val="24"/>
        </w:rPr>
        <w:t xml:space="preserve"> de junio</w:t>
      </w:r>
      <w:r>
        <w:rPr>
          <w:rFonts w:cs="Arial" w:ascii="Arial" w:hAnsi="Arial"/>
          <w:sz w:val="24"/>
          <w:szCs w:val="24"/>
        </w:rPr>
        <w:t xml:space="preserve"> </w:t>
        <w:tab/>
      </w:r>
      <w:r>
        <w:rPr>
          <w:rFonts w:cs="Arial" w:ascii="Arial" w:hAnsi="Arial"/>
          <w:b/>
          <w:sz w:val="24"/>
          <w:szCs w:val="24"/>
        </w:rPr>
        <w:t>2. Los espacios artísticos.</w:t>
      </w:r>
    </w:p>
    <w:p>
      <w:pPr>
        <w:pStyle w:val="NoSpacing"/>
        <w:spacing w:before="0" w:after="16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(17.00-18.30 h): </w:t>
        <w:tab/>
        <w:t>Lugares de culto y espacios artísticos: la iglesia, el monasterio, la catedral y la ciudad. Los espacios litúrgicos y su evolución artística. Desde el altar hasta el atrio.</w:t>
      </w:r>
    </w:p>
    <w:p>
      <w:pPr>
        <w:pStyle w:val="Normal"/>
        <w:spacing w:lineRule="auto" w:line="240"/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Lectura: </w:t>
      </w:r>
    </w:p>
    <w:p>
      <w:pPr>
        <w:pStyle w:val="ListParagraph"/>
        <w:numPr>
          <w:ilvl w:val="0"/>
          <w:numId w:val="2"/>
        </w:numPr>
        <w:spacing w:lineRule="auto" w:line="240"/>
        <w:ind w:left="851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GODOY FERNÁNDEZ, Cristina (2004), </w:t>
      </w:r>
      <w:r>
        <w:rPr>
          <w:rFonts w:cs="Arial" w:ascii="Arial" w:hAnsi="Arial"/>
          <w:b/>
          <w:sz w:val="24"/>
          <w:szCs w:val="24"/>
        </w:rPr>
        <w:t>«A los pies del templo: espacios litúrgicos en contraposición al altar: una revisión»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i/>
          <w:sz w:val="24"/>
          <w:szCs w:val="24"/>
        </w:rPr>
        <w:t>Antigüedad y cristianismo: Monografías históricas sobre la Antigüedad tardía</w:t>
      </w:r>
      <w:r>
        <w:rPr>
          <w:rFonts w:cs="Arial" w:ascii="Arial" w:hAnsi="Arial"/>
          <w:sz w:val="24"/>
          <w:szCs w:val="24"/>
        </w:rPr>
        <w:t xml:space="preserve"> 21, pp. 473-489.</w:t>
      </w:r>
    </w:p>
    <w:p>
      <w:pPr>
        <w:pStyle w:val="NoSpacing"/>
        <w:tabs>
          <w:tab w:val="left" w:pos="2410" w:leader="none"/>
        </w:tabs>
        <w:spacing w:before="0" w:after="160"/>
        <w:ind w:left="12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before="0" w:after="160"/>
        <w:rPr/>
      </w:pPr>
      <w:r>
        <w:rPr>
          <w:rFonts w:cs="Arial" w:ascii="Arial" w:hAnsi="Arial"/>
          <w:i/>
          <w:sz w:val="24"/>
          <w:szCs w:val="24"/>
        </w:rPr>
        <w:t>Miércoles</w:t>
      </w:r>
      <w:r>
        <w:rPr>
          <w:rFonts w:cs="Arial" w:ascii="Arial" w:hAnsi="Arial"/>
          <w:i/>
          <w:sz w:val="24"/>
          <w:szCs w:val="24"/>
        </w:rPr>
        <w:t>, 2</w:t>
      </w:r>
      <w:r>
        <w:rPr>
          <w:rFonts w:cs="Arial" w:ascii="Arial" w:hAnsi="Arial"/>
          <w:i/>
          <w:sz w:val="24"/>
          <w:szCs w:val="24"/>
        </w:rPr>
        <w:t>8</w:t>
      </w:r>
      <w:r>
        <w:rPr>
          <w:rFonts w:cs="Arial" w:ascii="Arial" w:hAnsi="Arial"/>
          <w:i/>
          <w:sz w:val="24"/>
          <w:szCs w:val="24"/>
        </w:rPr>
        <w:t xml:space="preserve"> de junio</w:t>
      </w:r>
      <w:r>
        <w:rPr>
          <w:rFonts w:cs="Arial" w:ascii="Arial" w:hAnsi="Arial"/>
          <w:sz w:val="24"/>
          <w:szCs w:val="24"/>
        </w:rPr>
        <w:t xml:space="preserve"> </w:t>
        <w:tab/>
      </w:r>
      <w:r>
        <w:rPr>
          <w:rFonts w:cs="Arial" w:ascii="Arial" w:hAnsi="Arial"/>
          <w:b/>
          <w:sz w:val="24"/>
          <w:szCs w:val="24"/>
        </w:rPr>
        <w:t>3. El sonido del ritual.</w:t>
      </w:r>
    </w:p>
    <w:p>
      <w:pPr>
        <w:pStyle w:val="NoSpacing"/>
        <w:spacing w:before="0" w:after="16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(17.00-18.30 h): </w:t>
        <w:tab/>
        <w:t>La musicalidad de la liturgia. Formas y espacios de la música litúrgica.  La pluralidad estilística: los orígenes, la monodia gregoriana, el canto oriental y la polifonía litúrgica. Los manuscritos litúrgicos musicales.</w:t>
      </w:r>
    </w:p>
    <w:p>
      <w:pPr>
        <w:pStyle w:val="NoSpacing"/>
        <w:spacing w:before="0" w:after="160"/>
        <w:ind w:left="1560" w:hanging="106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Lecturas: Selección de HOPPIN, Richard H. (2000), </w:t>
      </w:r>
      <w:r>
        <w:rPr>
          <w:rFonts w:cs="Arial" w:ascii="Arial" w:hAnsi="Arial"/>
          <w:i/>
          <w:sz w:val="24"/>
          <w:szCs w:val="24"/>
        </w:rPr>
        <w:t>Historia de la Música Medieval</w:t>
      </w:r>
      <w:r>
        <w:rPr>
          <w:rFonts w:cs="Arial" w:ascii="Arial" w:hAnsi="Arial"/>
          <w:sz w:val="24"/>
          <w:szCs w:val="24"/>
        </w:rPr>
        <w:t xml:space="preserve">, Madrid: Akal. 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Capítulo II: «</w:t>
      </w:r>
      <w:r>
        <w:rPr>
          <w:rFonts w:cs="Arial" w:ascii="Arial" w:hAnsi="Arial"/>
          <w:b/>
          <w:sz w:val="24"/>
          <w:szCs w:val="24"/>
        </w:rPr>
        <w:t>La liturgia cristiana hasta el año 1000»,</w:t>
      </w:r>
      <w:r>
        <w:rPr>
          <w:rFonts w:cs="Arial" w:ascii="Arial" w:hAnsi="Arial"/>
          <w:sz w:val="24"/>
          <w:szCs w:val="24"/>
        </w:rPr>
        <w:t xml:space="preserve"> pp. 45-70; 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Capítulo IV: «</w:t>
      </w:r>
      <w:r>
        <w:rPr>
          <w:rFonts w:cs="Arial" w:ascii="Arial" w:hAnsi="Arial"/>
          <w:b/>
          <w:sz w:val="24"/>
          <w:szCs w:val="24"/>
        </w:rPr>
        <w:t>La música del oficio»,</w:t>
      </w:r>
      <w:r>
        <w:rPr>
          <w:rFonts w:cs="Arial" w:ascii="Arial" w:hAnsi="Arial"/>
          <w:sz w:val="24"/>
          <w:szCs w:val="24"/>
        </w:rPr>
        <w:t xml:space="preserve"> pp. 107-130; 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Capítulo V: «</w:t>
      </w:r>
      <w:r>
        <w:rPr>
          <w:rFonts w:cs="Arial" w:ascii="Arial" w:hAnsi="Arial"/>
          <w:b/>
          <w:sz w:val="24"/>
          <w:szCs w:val="24"/>
        </w:rPr>
        <w:t>La misa romana»,</w:t>
      </w:r>
      <w:r>
        <w:rPr>
          <w:rFonts w:cs="Arial" w:ascii="Arial" w:hAnsi="Arial"/>
          <w:sz w:val="24"/>
          <w:szCs w:val="24"/>
        </w:rPr>
        <w:t xml:space="preserve"> pp. 131-156; 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Capítulo VIII: «</w:t>
      </w:r>
      <w:r>
        <w:rPr>
          <w:rFonts w:cs="Arial" w:ascii="Arial" w:hAnsi="Arial"/>
          <w:b/>
          <w:sz w:val="24"/>
          <w:szCs w:val="24"/>
        </w:rPr>
        <w:t>El nacimiento de la polifonía»,</w:t>
      </w:r>
      <w:r>
        <w:rPr>
          <w:rFonts w:cs="Arial" w:ascii="Arial" w:hAnsi="Arial"/>
          <w:sz w:val="24"/>
          <w:szCs w:val="24"/>
        </w:rPr>
        <w:t xml:space="preserve"> pp. 203-230.</w:t>
      </w:r>
    </w:p>
    <w:p>
      <w:pPr>
        <w:pStyle w:val="NoSpacing"/>
        <w:spacing w:before="0" w:after="160"/>
        <w:ind w:left="85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before="0" w:after="160"/>
        <w:rPr/>
      </w:pPr>
      <w:r>
        <w:rPr>
          <w:rFonts w:cs="Arial" w:ascii="Arial" w:hAnsi="Arial"/>
          <w:i/>
          <w:sz w:val="24"/>
          <w:szCs w:val="24"/>
        </w:rPr>
        <w:t>Miércoles</w:t>
      </w:r>
      <w:r>
        <w:rPr>
          <w:rFonts w:cs="Arial" w:ascii="Arial" w:hAnsi="Arial"/>
          <w:i/>
          <w:sz w:val="24"/>
          <w:szCs w:val="24"/>
        </w:rPr>
        <w:t xml:space="preserve">, </w:t>
      </w:r>
      <w:r>
        <w:rPr>
          <w:rFonts w:cs="Arial" w:ascii="Arial" w:hAnsi="Arial"/>
          <w:i/>
          <w:sz w:val="24"/>
          <w:szCs w:val="24"/>
        </w:rPr>
        <w:t>5</w:t>
      </w:r>
      <w:r>
        <w:rPr>
          <w:rFonts w:cs="Arial" w:ascii="Arial" w:hAnsi="Arial"/>
          <w:i/>
          <w:sz w:val="24"/>
          <w:szCs w:val="24"/>
        </w:rPr>
        <w:t xml:space="preserve"> de julio </w:t>
        <w:tab/>
      </w:r>
      <w:r>
        <w:rPr>
          <w:rFonts w:cs="Arial" w:ascii="Arial" w:hAnsi="Arial"/>
          <w:b/>
          <w:sz w:val="24"/>
          <w:szCs w:val="24"/>
        </w:rPr>
        <w:t>4. Las imágenes de la liturgia.</w:t>
      </w:r>
    </w:p>
    <w:p>
      <w:pPr>
        <w:pStyle w:val="NoSpacing"/>
        <w:spacing w:before="0" w:after="16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(17.00-18.30 h): </w:t>
        <w:tab/>
        <w:t>Las fuentes de la imagen litúrgica. Funciones de las imágenes: teorías, objetos y culto. Significados de la imagen: ciclos pictóricos y temas litúrgicos en el arte medieval. Los soportes de la imagen litúrgica de la Edad Media: retablos, objetos suntuarios, manuscritos y ornamentos.</w:t>
      </w:r>
    </w:p>
    <w:p>
      <w:pPr>
        <w:pStyle w:val="NoSpacing"/>
        <w:spacing w:before="0" w:after="160"/>
        <w:ind w:left="1560" w:hanging="106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Lecturas: Selección de GARCÍA MAHÍQUES, Rafael y ZURIAGA SENENT, Vicent Francesc, ed. (2008): </w:t>
      </w:r>
      <w:r>
        <w:rPr>
          <w:rFonts w:cs="Arial" w:ascii="Arial" w:hAnsi="Arial"/>
          <w:i/>
          <w:sz w:val="24"/>
          <w:szCs w:val="24"/>
        </w:rPr>
        <w:t>Imagen y cultura. La interpretación de las imágenes como Historia cultural.</w:t>
      </w:r>
      <w:r>
        <w:rPr>
          <w:rFonts w:cs="Arial" w:ascii="Arial" w:hAnsi="Arial"/>
          <w:sz w:val="24"/>
          <w:szCs w:val="24"/>
        </w:rPr>
        <w:t xml:space="preserve"> Vol. I. Valencia: Generalitat Valenciana.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POZZO COLL, Patricia Sela, </w:t>
      </w:r>
      <w:r>
        <w:rPr>
          <w:rFonts w:cs="Arial" w:ascii="Arial" w:hAnsi="Arial"/>
          <w:b/>
          <w:sz w:val="24"/>
          <w:szCs w:val="24"/>
        </w:rPr>
        <w:t>«La ostensión de la patena: génesis, desarrollo e interpretaciones artísticas de un gesto litúrgico en la Baja Edad Media»</w:t>
      </w:r>
      <w:r>
        <w:rPr>
          <w:rFonts w:cs="Arial" w:ascii="Arial" w:hAnsi="Arial"/>
          <w:sz w:val="24"/>
          <w:szCs w:val="24"/>
        </w:rPr>
        <w:t>, pp. 499-712.</w:t>
      </w:r>
    </w:p>
    <w:p>
      <w:pPr>
        <w:pStyle w:val="NoSpacing"/>
        <w:numPr>
          <w:ilvl w:val="0"/>
          <w:numId w:val="2"/>
        </w:numPr>
        <w:spacing w:before="0" w:after="160"/>
        <w:ind w:left="851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GALLART PINEDA, Pascual, </w:t>
      </w:r>
      <w:r>
        <w:rPr>
          <w:rFonts w:cs="Arial" w:ascii="Arial" w:hAnsi="Arial"/>
          <w:b/>
          <w:sz w:val="24"/>
          <w:szCs w:val="24"/>
        </w:rPr>
        <w:t>«Los pontificales medievales y su ilustración: la liturgia de las ordenaciones y su codificación ritual a través de la imagen»</w:t>
      </w:r>
      <w:r>
        <w:rPr>
          <w:rFonts w:cs="Arial" w:ascii="Arial" w:hAnsi="Arial"/>
          <w:sz w:val="24"/>
          <w:szCs w:val="24"/>
        </w:rPr>
        <w:t>, pp. 713-729.</w:t>
      </w:r>
    </w:p>
    <w:p>
      <w:pPr>
        <w:pStyle w:val="NoSpacing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Bibliografía general</w:t>
      </w:r>
    </w:p>
    <w:p>
      <w:pPr>
        <w:pStyle w:val="P1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ASENSIO PALACIOS, Juan Carlos (2003): </w:t>
      </w:r>
      <w:r>
        <w:rPr>
          <w:rFonts w:cs="Arial" w:ascii="Arial" w:hAnsi="Arial"/>
          <w:i/>
          <w:sz w:val="24"/>
          <w:szCs w:val="24"/>
        </w:rPr>
        <w:t>El Canto Gregoriano. Historia, liturgia, formas.</w:t>
      </w:r>
      <w:r>
        <w:rPr>
          <w:rStyle w:val="Appleconvertedspace"/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Madrid: Alianza Música.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BANGO TORVISO, Isidro Gonzalo (1997): «La vieja liturgia hispana y la interpretación funcional del templo prerrománico», </w:t>
      </w:r>
      <w:r>
        <w:rPr>
          <w:rFonts w:cs="Arial" w:ascii="Arial" w:hAnsi="Arial"/>
          <w:i/>
          <w:sz w:val="24"/>
          <w:szCs w:val="24"/>
          <w:lang w:val="en-US"/>
        </w:rPr>
        <w:t>VII Semana de Estudios Medievales: Nájera, 29 de julio al 2 de agosto de 1996,</w:t>
      </w:r>
      <w:r>
        <w:rPr>
          <w:rFonts w:cs="Arial" w:ascii="Arial" w:hAnsi="Arial"/>
          <w:sz w:val="24"/>
          <w:szCs w:val="24"/>
          <w:lang w:val="en-US"/>
        </w:rPr>
        <w:t xml:space="preserve"> pp. 61-120.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BELTING, Hans (2010): </w:t>
      </w:r>
      <w:r>
        <w:rPr>
          <w:rFonts w:cs="Arial" w:ascii="Arial" w:hAnsi="Arial"/>
          <w:i/>
          <w:sz w:val="24"/>
          <w:szCs w:val="24"/>
        </w:rPr>
        <w:t>Imagen y culto. Una historia de la imagen anterior a la era del arte.</w:t>
      </w:r>
      <w:r>
        <w:rPr>
          <w:rFonts w:cs="Arial" w:ascii="Arial" w:hAnsi="Arial"/>
          <w:sz w:val="24"/>
          <w:szCs w:val="24"/>
        </w:rPr>
        <w:t xml:space="preserve"> Madrid: Akal (ed. original de 1990).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CARRERO SANTAMARÍA, Eduardo (2009): «La arquitectura medieval al servicio de las necesidades litúrgicas: los conjuntos de iglesias», </w:t>
      </w:r>
      <w:r>
        <w:rPr>
          <w:rFonts w:cs="Arial" w:ascii="Arial" w:hAnsi="Arial"/>
          <w:i/>
          <w:sz w:val="24"/>
          <w:szCs w:val="24"/>
          <w:lang w:val="en-US"/>
        </w:rPr>
        <w:t>Cien años de investigación sobre arquitectura medieval española, Anales de historia del arte,</w:t>
      </w:r>
      <w:r>
        <w:rPr>
          <w:rFonts w:cs="Arial" w:ascii="Arial" w:hAnsi="Arial"/>
          <w:sz w:val="24"/>
          <w:szCs w:val="24"/>
          <w:lang w:val="en-US"/>
        </w:rPr>
        <w:t xml:space="preserve"> Extra 1, pp. 61-98.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CARRERO SANTAMARÍA, Eduardo (2014): </w:t>
      </w:r>
      <w:r>
        <w:rPr>
          <w:rFonts w:cs="Arial" w:ascii="Arial" w:hAnsi="Arial"/>
          <w:i/>
          <w:sz w:val="24"/>
          <w:szCs w:val="24"/>
          <w:lang w:val="en-US"/>
        </w:rPr>
        <w:t>Arquitectura y liturgia: el contexto artístico de las consuetas catedralicias en la Corona de Aragón</w:t>
      </w:r>
      <w:r>
        <w:rPr>
          <w:rFonts w:cs="Arial" w:ascii="Arial" w:hAnsi="Arial"/>
          <w:sz w:val="24"/>
          <w:szCs w:val="24"/>
          <w:lang w:val="en-US"/>
        </w:rPr>
        <w:t>. Barcelona: Objeto Perdido.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CARRERO SANTAMARÍA, Eduardo y RICO CAMPS, Daniel (2015): «La organización del espacio litúrgico hispánico entre los siglos VI y XI», </w:t>
      </w:r>
      <w:r>
        <w:rPr>
          <w:rFonts w:cs="Arial" w:ascii="Arial" w:hAnsi="Arial"/>
          <w:i/>
          <w:sz w:val="24"/>
          <w:szCs w:val="24"/>
          <w:lang w:val="en-US"/>
        </w:rPr>
        <w:t>Antiquité tardive: revue internationale d'histoire et d'archéologie</w:t>
      </w:r>
      <w:r>
        <w:rPr>
          <w:rFonts w:cs="Arial" w:ascii="Arial" w:hAnsi="Arial"/>
          <w:sz w:val="24"/>
          <w:szCs w:val="24"/>
          <w:lang w:val="en-US"/>
        </w:rPr>
        <w:t xml:space="preserve"> 23, pp. 239-248.</w:t>
      </w:r>
    </w:p>
    <w:p>
      <w:pPr>
        <w:pStyle w:val="P1"/>
        <w:spacing w:before="0" w:after="1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 xml:space="preserve">GITTOS, Helen y HAMILTON, Sarah, ed. </w:t>
      </w:r>
      <w:r>
        <w:rPr>
          <w:rFonts w:cs="Arial" w:ascii="Arial" w:hAnsi="Arial"/>
          <w:sz w:val="24"/>
          <w:szCs w:val="24"/>
          <w:lang w:val="en-US"/>
        </w:rPr>
        <w:t xml:space="preserve">(2015): </w:t>
      </w:r>
      <w:r>
        <w:rPr>
          <w:rFonts w:cs="Arial" w:ascii="Arial" w:hAnsi="Arial"/>
          <w:i/>
          <w:sz w:val="24"/>
          <w:szCs w:val="24"/>
          <w:lang w:val="en-US"/>
        </w:rPr>
        <w:t>Understanding Medieval Liturgy: Essays in Interpretation.</w:t>
      </w:r>
      <w:r>
        <w:rPr>
          <w:rFonts w:cs="Arial" w:ascii="Arial" w:hAnsi="Arial"/>
          <w:sz w:val="24"/>
          <w:szCs w:val="24"/>
          <w:lang w:val="en-US"/>
        </w:rPr>
        <w:t xml:space="preserve"> London: Routledge.</w:t>
      </w:r>
    </w:p>
    <w:p>
      <w:pPr>
        <w:pStyle w:val="P1"/>
        <w:spacing w:before="0" w:after="1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HEFFERNAN, Thomas J. y MATTER, E. Ann, ed. (2005): </w:t>
      </w:r>
      <w:r>
        <w:rPr>
          <w:rFonts w:cs="Arial" w:ascii="Arial" w:hAnsi="Arial"/>
          <w:i/>
          <w:sz w:val="24"/>
          <w:szCs w:val="24"/>
          <w:lang w:val="en-US"/>
        </w:rPr>
        <w:t>The Liturgy of the Medieval Church</w:t>
      </w:r>
      <w:r>
        <w:rPr>
          <w:rFonts w:cs="Arial" w:ascii="Arial" w:hAnsi="Arial"/>
          <w:sz w:val="24"/>
          <w:szCs w:val="24"/>
          <w:lang w:val="en-US"/>
        </w:rPr>
        <w:t>. Kalamazoo: Medieval Institute Publications.</w:t>
      </w:r>
    </w:p>
    <w:p>
      <w:pPr>
        <w:pStyle w:val="P1"/>
        <w:spacing w:before="0" w:after="1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HUGHES, Andrew (1995): </w:t>
      </w:r>
      <w:r>
        <w:rPr>
          <w:rFonts w:cs="Arial" w:ascii="Arial" w:hAnsi="Arial"/>
          <w:i/>
          <w:sz w:val="24"/>
          <w:szCs w:val="24"/>
          <w:lang w:val="en-US"/>
        </w:rPr>
        <w:t>Medieval Manuscripts for Mass and Office: A Guide to Their Organization and Terminology.</w:t>
      </w:r>
      <w:r>
        <w:rPr>
          <w:rFonts w:cs="Arial" w:ascii="Arial" w:hAnsi="Arial"/>
          <w:sz w:val="24"/>
          <w:szCs w:val="24"/>
          <w:lang w:val="en-US"/>
        </w:rPr>
        <w:t xml:space="preserve"> Toronto: University of Toronto Press.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LILLIE, Eva Louise y PETERSEN, Nils Holger, ed. </w:t>
      </w:r>
      <w:r>
        <w:rPr>
          <w:rFonts w:cs="Arial" w:ascii="Arial" w:hAnsi="Arial"/>
          <w:sz w:val="24"/>
          <w:szCs w:val="24"/>
          <w:lang w:val="en-US"/>
        </w:rPr>
        <w:t xml:space="preserve">(1996): </w:t>
      </w:r>
      <w:r>
        <w:rPr>
          <w:rFonts w:cs="Arial" w:ascii="Arial" w:hAnsi="Arial"/>
          <w:i/>
          <w:sz w:val="24"/>
          <w:szCs w:val="24"/>
          <w:lang w:val="en-US"/>
        </w:rPr>
        <w:t>Liturgy and the Arts in the Middle Ages: Studies in Honour of C. Clifford Flanigan.</w:t>
      </w:r>
      <w:r>
        <w:rPr>
          <w:rFonts w:cs="Arial" w:ascii="Arial" w:hAnsi="Arial"/>
          <w:sz w:val="24"/>
          <w:szCs w:val="24"/>
          <w:lang w:val="en-US"/>
        </w:rPr>
        <w:t xml:space="preserve"> Copenhagen: Museum Tusculanum Press.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PALAZZO, Eric (1993):</w:t>
      </w:r>
      <w:r>
        <w:rPr/>
        <w:t xml:space="preserve"> </w:t>
      </w:r>
      <w:r>
        <w:rPr>
          <w:rFonts w:cs="Arial" w:ascii="Arial" w:hAnsi="Arial"/>
          <w:i/>
          <w:sz w:val="24"/>
          <w:szCs w:val="24"/>
        </w:rPr>
        <w:t>Histoire des livres liturgiques: le Moyen Âge, des origines au XIIIe siècle</w:t>
      </w:r>
      <w:r>
        <w:rPr>
          <w:rFonts w:cs="Arial" w:ascii="Arial" w:hAnsi="Arial"/>
          <w:sz w:val="24"/>
          <w:szCs w:val="24"/>
        </w:rPr>
        <w:t>. Paris: Beauchesne.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 xml:space="preserve">PALAZZO, Eric (2000): </w:t>
      </w:r>
      <w:r>
        <w:rPr>
          <w:rFonts w:cs="Arial" w:ascii="Arial" w:hAnsi="Arial"/>
          <w:i/>
          <w:sz w:val="24"/>
          <w:szCs w:val="24"/>
        </w:rPr>
        <w:t>Liturgie et société au Moyen Âge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en-US"/>
        </w:rPr>
        <w:t>París: Beauchesne.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PALAZZO, Eric (2008): L'espace ritual et le sacré dans la cristianisme. La liturgie de l'autel portátil dans l'Antiquité et au Moyen Âge. </w:t>
      </w:r>
      <w:r>
        <w:rPr>
          <w:rFonts w:cs="Arial" w:ascii="Arial" w:hAnsi="Arial"/>
          <w:sz w:val="24"/>
          <w:szCs w:val="24"/>
          <w:lang w:val="en-US"/>
        </w:rPr>
        <w:t>Turnhout: Brepols.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PAZOS-LÓPEZ, Ángel (2015): «Culto y vestimenta en la Baja Edad Media. Ornamentos clericales del rito romano», </w:t>
      </w:r>
      <w:r>
        <w:rPr>
          <w:rFonts w:cs="Arial" w:ascii="Arial" w:hAnsi="Arial"/>
          <w:i/>
          <w:sz w:val="24"/>
          <w:szCs w:val="24"/>
        </w:rPr>
        <w:t>Revista Digital de Iconografía Medieval</w:t>
      </w:r>
      <w:r>
        <w:rPr>
          <w:rFonts w:cs="Arial" w:ascii="Arial" w:hAnsi="Arial"/>
          <w:sz w:val="24"/>
          <w:szCs w:val="24"/>
        </w:rPr>
        <w:t xml:space="preserve"> 14.</w:t>
      </w:r>
    </w:p>
    <w:p>
      <w:pPr>
        <w:pStyle w:val="P1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RIGHETTI, Mario (1955): </w:t>
      </w:r>
      <w:r>
        <w:rPr>
          <w:rFonts w:cs="Arial" w:ascii="Arial" w:hAnsi="Arial"/>
          <w:i/>
          <w:sz w:val="24"/>
          <w:szCs w:val="24"/>
        </w:rPr>
        <w:t>Historia de la Liturgia</w:t>
      </w:r>
      <w:r>
        <w:rPr>
          <w:rFonts w:cs="Arial" w:ascii="Arial" w:hAnsi="Arial"/>
          <w:sz w:val="24"/>
          <w:szCs w:val="24"/>
        </w:rPr>
        <w:t>, 2 vols. Madrid: Biblioteca de Autores Cristianos.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4"/>
          <w:szCs w:val="24"/>
        </w:rPr>
        <w:t>RODRÍGUEZ PEINADO, Laura (2015): «Misa de San Gregorio», </w:t>
      </w:r>
      <w:r>
        <w:rPr>
          <w:rFonts w:cs="Arial" w:ascii="Arial" w:hAnsi="Arial"/>
          <w:i/>
          <w:iCs/>
          <w:sz w:val="24"/>
          <w:szCs w:val="24"/>
        </w:rPr>
        <w:t>Base de datos digital de iconografía medieval</w:t>
      </w:r>
      <w:r>
        <w:rPr>
          <w:rFonts w:cs="Arial" w:ascii="Arial" w:hAnsi="Arial"/>
          <w:sz w:val="24"/>
          <w:szCs w:val="24"/>
        </w:rPr>
        <w:t>. Universidad Complutense de Madrid. En línea: &lt;</w:t>
      </w:r>
      <w:hyperlink r:id="rId6">
        <w:r>
          <w:rPr>
            <w:rStyle w:val="EnlacedeInternet"/>
            <w:rFonts w:cs="Arial" w:ascii="Arial" w:hAnsi="Arial"/>
            <w:sz w:val="24"/>
            <w:szCs w:val="24"/>
          </w:rPr>
          <w:t>www.ucm.es/bdiconografiamedieval/misa-de-san-gregorio</w:t>
        </w:r>
      </w:hyperlink>
      <w:r>
        <w:rPr>
          <w:rFonts w:cs="Arial" w:ascii="Arial" w:hAnsi="Arial"/>
          <w:sz w:val="24"/>
          <w:szCs w:val="24"/>
        </w:rPr>
        <w:t>&gt;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SEBASTIÁN LÓPEZ, Santiago (2009): </w:t>
      </w:r>
      <w:r>
        <w:rPr>
          <w:rFonts w:cs="Arial" w:ascii="Arial" w:hAnsi="Arial"/>
          <w:i/>
          <w:sz w:val="24"/>
          <w:szCs w:val="24"/>
          <w:lang w:val="en-US"/>
        </w:rPr>
        <w:t>Mensaje simbólico del arte medieval: Arquitectura, liturgia e iconografía.</w:t>
      </w:r>
      <w:r>
        <w:rPr>
          <w:rFonts w:cs="Arial" w:ascii="Arial" w:hAnsi="Arial"/>
          <w:sz w:val="24"/>
          <w:szCs w:val="24"/>
          <w:lang w:val="en-US"/>
        </w:rPr>
        <w:t xml:space="preserve"> Madrid: Ediciones Encuentro.</w:t>
      </w:r>
    </w:p>
    <w:p>
      <w:pPr>
        <w:pStyle w:val="Normal"/>
        <w:pBdr/>
        <w:spacing w:lineRule="auto" w:line="240"/>
        <w:jc w:val="both"/>
        <w:rPr/>
      </w:pPr>
      <w:r>
        <w:rPr>
          <w:rFonts w:cs="Arial" w:ascii="Arial" w:hAnsi="Arial"/>
          <w:sz w:val="24"/>
          <w:szCs w:val="24"/>
          <w:lang w:val="en-US"/>
        </w:rPr>
        <w:t xml:space="preserve">VOGEL, Cyrile (1986): </w:t>
      </w:r>
      <w:r>
        <w:rPr>
          <w:rFonts w:cs="Arial" w:ascii="Arial" w:hAnsi="Arial"/>
          <w:i/>
          <w:sz w:val="24"/>
          <w:szCs w:val="24"/>
          <w:lang w:val="en-US"/>
        </w:rPr>
        <w:t>Medieval Liturgy. An introduction to the Soucres</w:t>
      </w:r>
      <w:r>
        <w:rPr>
          <w:rFonts w:cs="Arial" w:ascii="Arial" w:hAnsi="Arial"/>
          <w:sz w:val="24"/>
          <w:szCs w:val="24"/>
          <w:lang w:val="en-US"/>
        </w:rPr>
        <w:t>. Washington: The Pastoral Press.</w:t>
      </w:r>
    </w:p>
    <w:sectPr>
      <w:footerReference w:type="default" r:id="rId7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60655"/>
              <wp:effectExtent l="0" t="0" r="0" b="0"/>
              <wp:wrapTopAndBottom/>
              <wp:docPr id="2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epgina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2.65pt;mso-wrap-distance-left:0pt;mso-wrap-distance-right:0pt;mso-wrap-distance-top:0pt;mso-wrap-distance-bottom:0pt;margin-top:0.05pt;mso-position-vertical-relative:text;margin-left:237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edepgina"/>
                      <w:pBdr/>
                      <w:rPr/>
                    </w:pPr>
                    <w:r>
                      <w:rPr>
                        <w:rStyle w:val="Pagenumber"/>
                        <w:rFonts w:cs="Arial" w:ascii="Arial" w:hAnsi="Arial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E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c70a81"/>
    <w:rPr>
      <w:color w:val="0563C1" w:themeColor="hyperlink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c70a8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70a81"/>
    <w:rPr/>
  </w:style>
  <w:style w:type="character" w:styleId="Pagenumber">
    <w:name w:val="page number"/>
    <w:basedOn w:val="DefaultParagraphFont"/>
    <w:uiPriority w:val="99"/>
    <w:semiHidden/>
    <w:unhideWhenUsed/>
    <w:qFormat/>
    <w:rsid w:val="00c70a81"/>
    <w:rPr/>
  </w:style>
  <w:style w:type="character" w:styleId="Appleconvertedspace" w:customStyle="1">
    <w:name w:val="apple-converted-space"/>
    <w:basedOn w:val="DefaultParagraphFont"/>
    <w:qFormat/>
    <w:rsid w:val="00454e32"/>
    <w:rPr/>
  </w:style>
  <w:style w:type="character" w:styleId="Destacado">
    <w:name w:val="Destacado"/>
    <w:basedOn w:val="DefaultParagraphFont"/>
    <w:uiPriority w:val="20"/>
    <w:qFormat/>
    <w:rsid w:val="001938dc"/>
    <w:rPr>
      <w:i/>
      <w:iCs/>
    </w:rPr>
  </w:style>
  <w:style w:type="character" w:styleId="ListLabel1">
    <w:name w:val="ListLabel 1"/>
    <w:qFormat/>
    <w:rPr>
      <w:rFonts w:ascii="Arial" w:hAnsi="Arial"/>
      <w:b/>
      <w:sz w:val="24"/>
      <w:szCs w:val="20"/>
    </w:rPr>
  </w:style>
  <w:style w:type="character" w:styleId="ListLabel2">
    <w:name w:val="ListLabel 2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711a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ES" w:eastAsia="es-ES" w:bidi="ar-SA"/>
    </w:rPr>
  </w:style>
  <w:style w:type="paragraph" w:styleId="ListParagraph">
    <w:name w:val="List Paragraph"/>
    <w:basedOn w:val="Normal"/>
    <w:uiPriority w:val="34"/>
    <w:qFormat/>
    <w:rsid w:val="00c70a81"/>
    <w:pPr>
      <w:spacing w:before="0" w:after="160"/>
      <w:ind w:left="720" w:hanging="0"/>
      <w:contextualSpacing/>
    </w:pPr>
    <w:rPr/>
  </w:style>
  <w:style w:type="paragraph" w:styleId="Encabezamiento">
    <w:name w:val="Encabezamiento"/>
    <w:basedOn w:val="Normal"/>
    <w:link w:val="EncabezadoCar"/>
    <w:uiPriority w:val="99"/>
    <w:unhideWhenUsed/>
    <w:rsid w:val="00c70a8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Pie de página"/>
    <w:basedOn w:val="Normal"/>
    <w:link w:val="PiedepginaCar"/>
    <w:uiPriority w:val="99"/>
    <w:unhideWhenUsed/>
    <w:rsid w:val="00c70a8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1" w:customStyle="1">
    <w:name w:val="p1"/>
    <w:basedOn w:val="Normal"/>
    <w:qFormat/>
    <w:rsid w:val="00454e32"/>
    <w:pPr>
      <w:spacing w:lineRule="auto" w:line="240" w:before="0" w:after="0"/>
    </w:pPr>
    <w:rPr>
      <w:rFonts w:ascii="Helvetica" w:hAnsi="Helvetica" w:cs="Times New Roman"/>
      <w:sz w:val="15"/>
      <w:szCs w:val="15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938d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Contenidodelmarco">
    <w:name w:val="Contenido del marco"/>
    <w:basedOn w:val="Normal"/>
    <w:qFormat/>
    <w:pPr/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gelpazos@ucm.es" TargetMode="External"/><Relationship Id="rId4" Type="http://schemas.openxmlformats.org/officeDocument/2006/relationships/hyperlink" Target="https://twitter.com/angelpazoslopez/" TargetMode="External"/><Relationship Id="rId5" Type="http://schemas.openxmlformats.org/officeDocument/2006/relationships/hyperlink" Target="http://www.ucm.es/artemedieval/pazos" TargetMode="External"/><Relationship Id="rId6" Type="http://schemas.openxmlformats.org/officeDocument/2006/relationships/hyperlink" Target="http://www.ucm.es/bdiconografiamedieval/misa-de-san-gregorio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LibreOffice/5.0.0.5$Linux_x86 LibreOffice_project/437e4abdf9e72fd0a6e6f8697a0e659bc77f9b10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2017-05-24T21:52:00Z</dcterms:created>
  <dc:creator>angelpazoslopez@gmail.com</dc:creator>
  <dc:language>es-AR</dc:language>
  <cp:lastModifiedBy>payro </cp:lastModifiedBy>
  <dcterms:modified xsi:type="dcterms:W3CDTF">2017-05-29T14:36:22Z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